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7A03" w14:textId="77777777" w:rsidR="00C316FE" w:rsidRDefault="000162AA">
      <w:pPr>
        <w:keepNext/>
        <w:keepLines/>
        <w:jc w:val="center"/>
        <w:rPr>
          <w:rFonts w:eastAsia="Calibri"/>
          <w:b/>
          <w:bCs/>
          <w:szCs w:val="24"/>
          <w:lang w:eastAsia="lt-LT"/>
        </w:rPr>
      </w:pPr>
      <w:r>
        <w:rPr>
          <w:rFonts w:eastAsia="Calibri"/>
          <w:b/>
          <w:bCs/>
          <w:szCs w:val="24"/>
          <w:lang w:eastAsia="lt-LT"/>
        </w:rPr>
        <w:t>TINKAMŲ FINANSUOTI PROJEKTO IŠLAIDŲ IR FINANSAVIMO REIKALAVIMAI</w:t>
      </w:r>
    </w:p>
    <w:p w14:paraId="6C757A04" w14:textId="77777777" w:rsidR="00C316FE" w:rsidRDefault="00C316FE">
      <w:pPr>
        <w:keepNext/>
        <w:tabs>
          <w:tab w:val="left" w:pos="1276"/>
          <w:tab w:val="left" w:pos="1418"/>
        </w:tabs>
        <w:ind w:firstLine="851"/>
        <w:jc w:val="both"/>
        <w:rPr>
          <w:rFonts w:eastAsia="Calibri"/>
          <w:szCs w:val="24"/>
          <w:lang w:eastAsia="lt-LT"/>
        </w:rPr>
      </w:pPr>
    </w:p>
    <w:p w14:paraId="6C757A06" w14:textId="56AC80CA" w:rsidR="00C316FE" w:rsidRDefault="00203201">
      <w:pPr>
        <w:tabs>
          <w:tab w:val="left" w:pos="1276"/>
          <w:tab w:val="left" w:pos="1418"/>
          <w:tab w:val="left" w:pos="2127"/>
        </w:tabs>
        <w:ind w:firstLine="851"/>
        <w:jc w:val="both"/>
        <w:rPr>
          <w:rFonts w:eastAsia="Calibri"/>
          <w:i/>
          <w:lang w:eastAsia="lt-LT"/>
        </w:rPr>
      </w:pPr>
      <w:r>
        <w:rPr>
          <w:rFonts w:eastAsia="Calibri"/>
          <w:color w:val="000000"/>
          <w:lang w:eastAsia="lt-LT"/>
        </w:rPr>
        <w:t>1</w:t>
      </w:r>
      <w:r w:rsidR="000162AA">
        <w:rPr>
          <w:rFonts w:eastAsia="Calibri"/>
          <w:color w:val="000000"/>
          <w:lang w:eastAsia="lt-LT"/>
        </w:rPr>
        <w:t>.</w:t>
      </w:r>
      <w:r w:rsidR="000162AA">
        <w:rPr>
          <w:rFonts w:eastAsia="Calibri"/>
          <w:color w:val="000000"/>
          <w:lang w:eastAsia="lt-LT"/>
        </w:rPr>
        <w:tab/>
      </w:r>
      <w:r w:rsidR="000162AA">
        <w:rPr>
          <w:rFonts w:eastAsia="Calibri"/>
          <w:lang w:eastAsia="lt-LT"/>
        </w:rPr>
        <w:t>Didžiausia galima projekto finansuojamoji dalis yra iki 100 proc. visų tinkamų finansuoti projekto išlaidų</w:t>
      </w:r>
      <w:r w:rsidR="000162AA">
        <w:rPr>
          <w:rFonts w:eastAsia="Calibri"/>
          <w:i/>
          <w:lang w:eastAsia="lt-LT"/>
        </w:rPr>
        <w:t>.</w:t>
      </w:r>
    </w:p>
    <w:p w14:paraId="6C757A07" w14:textId="54274874" w:rsidR="00C316FE" w:rsidRDefault="00203201">
      <w:pPr>
        <w:tabs>
          <w:tab w:val="left" w:pos="1276"/>
          <w:tab w:val="left" w:pos="1418"/>
          <w:tab w:val="left" w:pos="2127"/>
        </w:tabs>
        <w:ind w:firstLine="851"/>
        <w:jc w:val="both"/>
        <w:rPr>
          <w:rFonts w:eastAsia="Calibri"/>
          <w:lang w:eastAsia="lt-LT"/>
        </w:rPr>
      </w:pPr>
      <w:r>
        <w:rPr>
          <w:rFonts w:eastAsia="Calibri"/>
          <w:color w:val="000000"/>
          <w:lang w:eastAsia="lt-LT"/>
        </w:rPr>
        <w:t>2</w:t>
      </w:r>
      <w:r w:rsidR="000162AA">
        <w:rPr>
          <w:rFonts w:eastAsia="Calibri"/>
          <w:color w:val="000000"/>
          <w:lang w:eastAsia="lt-LT"/>
        </w:rPr>
        <w:t>.</w:t>
      </w:r>
      <w:r w:rsidR="000162AA">
        <w:rPr>
          <w:rFonts w:eastAsia="Calibri"/>
          <w:color w:val="000000"/>
          <w:lang w:eastAsia="lt-LT"/>
        </w:rPr>
        <w:tab/>
      </w:r>
      <w:r w:rsidR="000162AA">
        <w:rPr>
          <w:rFonts w:eastAsia="Calibri"/>
          <w:lang w:eastAsia="lt-LT"/>
        </w:rPr>
        <w:t xml:space="preserve">Pareiškėjas ir (arba) partneris savo iniciatyva bei savo ir (arba) kitų šaltinių lėšomis gali prisidėti prie projekto įgyvendinimo. </w:t>
      </w:r>
    </w:p>
    <w:p w14:paraId="6C757A08" w14:textId="021364A8" w:rsidR="00C316FE" w:rsidRDefault="000162AA">
      <w:pPr>
        <w:tabs>
          <w:tab w:val="left" w:pos="1276"/>
          <w:tab w:val="left" w:pos="1418"/>
          <w:tab w:val="left" w:pos="2127"/>
        </w:tabs>
        <w:ind w:firstLine="851"/>
        <w:jc w:val="both"/>
        <w:rPr>
          <w:rFonts w:eastAsia="Calibri"/>
          <w:lang w:eastAsia="lt-LT"/>
        </w:rPr>
      </w:pPr>
      <w:r>
        <w:rPr>
          <w:rFonts w:eastAsia="Calibri"/>
          <w:color w:val="000000"/>
          <w:lang w:eastAsia="lt-LT"/>
        </w:rPr>
        <w:t>3.</w:t>
      </w:r>
      <w:r>
        <w:rPr>
          <w:rFonts w:eastAsia="Calibri"/>
          <w:color w:val="000000"/>
          <w:lang w:eastAsia="lt-LT"/>
        </w:rPr>
        <w:tab/>
      </w:r>
      <w:r>
        <w:rPr>
          <w:rFonts w:eastAsia="Calibri"/>
        </w:rPr>
        <w:t>Projekto tinkamų finansuoti išlaidų dalis, kurios nepadengia projektui skiriamo finansavimo lėšos, finansuojama iš projekto vykdytojo ir (ar) partnerio (-</w:t>
      </w:r>
      <w:proofErr w:type="spellStart"/>
      <w:r>
        <w:rPr>
          <w:rFonts w:eastAsia="Calibri"/>
        </w:rPr>
        <w:t>ių</w:t>
      </w:r>
      <w:proofErr w:type="spellEnd"/>
      <w:r>
        <w:rPr>
          <w:rFonts w:eastAsia="Calibri"/>
        </w:rPr>
        <w:t>) lėšų</w:t>
      </w:r>
      <w:r>
        <w:rPr>
          <w:rFonts w:eastAsia="Calibri"/>
          <w:lang w:eastAsia="lt-LT"/>
        </w:rPr>
        <w:t xml:space="preserve">. </w:t>
      </w:r>
    </w:p>
    <w:p w14:paraId="6C757A09" w14:textId="5E99AB65" w:rsidR="00C316FE" w:rsidRDefault="00203201">
      <w:pPr>
        <w:tabs>
          <w:tab w:val="left" w:pos="1276"/>
          <w:tab w:val="left" w:pos="1418"/>
          <w:tab w:val="left" w:pos="2127"/>
        </w:tabs>
        <w:ind w:firstLine="851"/>
        <w:jc w:val="both"/>
        <w:rPr>
          <w:rFonts w:eastAsia="Calibri"/>
          <w:lang w:eastAsia="lt-LT"/>
        </w:rPr>
      </w:pPr>
      <w:r>
        <w:rPr>
          <w:rFonts w:eastAsia="Calibri"/>
          <w:color w:val="000000"/>
          <w:lang w:eastAsia="lt-LT"/>
        </w:rPr>
        <w:t>4</w:t>
      </w:r>
      <w:r w:rsidR="000162AA">
        <w:rPr>
          <w:rFonts w:eastAsia="Calibri"/>
          <w:color w:val="000000"/>
          <w:lang w:eastAsia="lt-LT"/>
        </w:rPr>
        <w:t>.</w:t>
      </w:r>
      <w:r w:rsidR="000162AA">
        <w:rPr>
          <w:rFonts w:eastAsia="Calibri"/>
          <w:color w:val="000000"/>
          <w:lang w:eastAsia="lt-LT"/>
        </w:rPr>
        <w:tab/>
      </w:r>
      <w:r>
        <w:rPr>
          <w:rFonts w:eastAsia="Calibri"/>
          <w:color w:val="000000"/>
          <w:lang w:eastAsia="lt-LT"/>
        </w:rPr>
        <w:t>P</w:t>
      </w:r>
      <w:r w:rsidR="000162AA">
        <w:rPr>
          <w:rFonts w:eastAsia="Calibri"/>
        </w:rPr>
        <w:t>rojekto tinkamų arba netinkamų finansuoti išlaidų kategorijos yra šios</w:t>
      </w:r>
      <w:r w:rsidR="000162AA">
        <w:rPr>
          <w:rFonts w:eastAsia="Calibri"/>
          <w:lang w:eastAsia="lt-LT"/>
        </w:rPr>
        <w:t xml:space="preserve">: </w:t>
      </w:r>
    </w:p>
    <w:p w14:paraId="6C757A0A" w14:textId="77777777" w:rsidR="00C316FE" w:rsidRDefault="00C316FE">
      <w:pPr>
        <w:tabs>
          <w:tab w:val="left" w:pos="1276"/>
        </w:tabs>
        <w:ind w:left="851"/>
        <w:jc w:val="both"/>
        <w:rPr>
          <w:rFonts w:eastAsia="Calibri"/>
          <w:lang w:eastAsia="lt-LT"/>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48"/>
        <w:gridCol w:w="1958"/>
        <w:gridCol w:w="6239"/>
      </w:tblGrid>
      <w:tr w:rsidR="00C316FE" w14:paraId="6C757A0E" w14:textId="77777777">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0B" w14:textId="77777777" w:rsidR="00C316FE" w:rsidRDefault="000162AA">
            <w:pPr>
              <w:spacing w:line="276" w:lineRule="auto"/>
              <w:jc w:val="center"/>
              <w:rPr>
                <w:rFonts w:eastAsia="Calibri"/>
                <w:b/>
                <w:szCs w:val="24"/>
                <w:lang w:eastAsia="lt-LT"/>
              </w:rPr>
            </w:pPr>
            <w:r>
              <w:rPr>
                <w:rFonts w:eastAsia="Calibri"/>
                <w:b/>
                <w:lang w:eastAsia="lt-LT"/>
              </w:rPr>
              <w:t>Išlaidų kategorijos Nr.</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0C" w14:textId="77777777" w:rsidR="00C316FE" w:rsidRDefault="000162AA">
            <w:pPr>
              <w:spacing w:line="276" w:lineRule="auto"/>
              <w:jc w:val="center"/>
              <w:rPr>
                <w:rFonts w:eastAsia="Calibri"/>
                <w:b/>
                <w:szCs w:val="24"/>
                <w:lang w:eastAsia="lt-LT"/>
              </w:rPr>
            </w:pPr>
            <w:r>
              <w:rPr>
                <w:rFonts w:eastAsia="Calibri"/>
                <w:b/>
                <w:lang w:eastAsia="lt-LT"/>
              </w:rPr>
              <w:t>Išlaidų kategorijos pavadinimas</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0D" w14:textId="77777777" w:rsidR="00C316FE" w:rsidRDefault="000162AA">
            <w:pPr>
              <w:spacing w:line="276" w:lineRule="auto"/>
              <w:jc w:val="center"/>
              <w:rPr>
                <w:rFonts w:eastAsia="Calibri"/>
                <w:b/>
                <w:szCs w:val="24"/>
                <w:lang w:eastAsia="lt-LT"/>
              </w:rPr>
            </w:pPr>
            <w:r>
              <w:rPr>
                <w:rFonts w:eastAsia="Calibri"/>
                <w:b/>
                <w:lang w:eastAsia="lt-LT"/>
              </w:rPr>
              <w:t>Reikalavimai ir paaiškinimai</w:t>
            </w:r>
          </w:p>
        </w:tc>
      </w:tr>
      <w:tr w:rsidR="00C316FE" w14:paraId="6C757A12" w14:textId="77777777">
        <w:tc>
          <w:tcPr>
            <w:tcW w:w="1447" w:type="dxa"/>
            <w:tcBorders>
              <w:top w:val="single" w:sz="4" w:space="0" w:color="auto"/>
              <w:left w:val="single" w:sz="4" w:space="0" w:color="auto"/>
              <w:bottom w:val="single" w:sz="4" w:space="0" w:color="auto"/>
              <w:right w:val="single" w:sz="4" w:space="0" w:color="auto"/>
            </w:tcBorders>
            <w:shd w:val="clear" w:color="auto" w:fill="FFFFFF"/>
            <w:hideMark/>
          </w:tcPr>
          <w:p w14:paraId="6C757A0F" w14:textId="77777777" w:rsidR="00C316FE" w:rsidRDefault="000162AA">
            <w:pPr>
              <w:spacing w:line="276" w:lineRule="auto"/>
              <w:ind w:right="-57"/>
              <w:jc w:val="center"/>
              <w:rPr>
                <w:rFonts w:eastAsia="Calibri"/>
                <w:bCs/>
                <w:szCs w:val="24"/>
                <w:lang w:eastAsia="lt-LT"/>
              </w:rPr>
            </w:pPr>
            <w:r>
              <w:rPr>
                <w:rFonts w:eastAsia="Calibri"/>
                <w:bCs/>
                <w:lang w:eastAsia="lt-LT"/>
              </w:rPr>
              <w:t>1.</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10" w14:textId="77777777" w:rsidR="00C316FE" w:rsidRDefault="000162AA">
            <w:pPr>
              <w:spacing w:line="276" w:lineRule="auto"/>
              <w:ind w:right="-57"/>
              <w:rPr>
                <w:rFonts w:eastAsia="Calibri"/>
                <w:bCs/>
                <w:szCs w:val="24"/>
                <w:lang w:eastAsia="lt-LT"/>
              </w:rPr>
            </w:pPr>
            <w:r>
              <w:rPr>
                <w:rFonts w:eastAsia="Calibri"/>
                <w:bCs/>
                <w:lang w:eastAsia="lt-LT"/>
              </w:rPr>
              <w:t>Žemė</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C757A11" w14:textId="77777777" w:rsidR="00C316FE" w:rsidRDefault="000162AA">
            <w:pPr>
              <w:spacing w:line="276" w:lineRule="auto"/>
              <w:ind w:right="-57"/>
              <w:rPr>
                <w:rFonts w:eastAsia="Calibri"/>
                <w:szCs w:val="24"/>
                <w:lang w:eastAsia="lt-LT"/>
              </w:rPr>
            </w:pPr>
            <w:r>
              <w:rPr>
                <w:rFonts w:eastAsia="Calibri"/>
                <w:lang w:eastAsia="lt-LT"/>
              </w:rPr>
              <w:t>Netinkama finansuoti</w:t>
            </w:r>
          </w:p>
        </w:tc>
      </w:tr>
      <w:tr w:rsidR="00C316FE" w14:paraId="6C757A16" w14:textId="77777777">
        <w:tc>
          <w:tcPr>
            <w:tcW w:w="1447" w:type="dxa"/>
            <w:tcBorders>
              <w:top w:val="single" w:sz="4" w:space="0" w:color="auto"/>
              <w:left w:val="single" w:sz="4" w:space="0" w:color="auto"/>
              <w:bottom w:val="single" w:sz="4" w:space="0" w:color="auto"/>
              <w:right w:val="single" w:sz="4" w:space="0" w:color="auto"/>
            </w:tcBorders>
            <w:shd w:val="clear" w:color="auto" w:fill="FFFFFF"/>
            <w:hideMark/>
          </w:tcPr>
          <w:p w14:paraId="6C757A13" w14:textId="77777777" w:rsidR="00C316FE" w:rsidRDefault="000162AA">
            <w:pPr>
              <w:spacing w:line="276" w:lineRule="auto"/>
              <w:ind w:right="-57"/>
              <w:jc w:val="center"/>
              <w:rPr>
                <w:rFonts w:eastAsia="Calibri"/>
                <w:bCs/>
                <w:szCs w:val="24"/>
                <w:lang w:eastAsia="lt-LT"/>
              </w:rPr>
            </w:pPr>
            <w:r>
              <w:rPr>
                <w:rFonts w:eastAsia="Calibri"/>
                <w:bCs/>
                <w:lang w:eastAsia="lt-LT"/>
              </w:rPr>
              <w:t>2.</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14" w14:textId="77777777" w:rsidR="00C316FE" w:rsidRDefault="000162AA">
            <w:pPr>
              <w:spacing w:line="276" w:lineRule="auto"/>
              <w:ind w:left="-57" w:right="-57"/>
              <w:rPr>
                <w:rFonts w:eastAsia="Calibri"/>
                <w:bCs/>
                <w:szCs w:val="24"/>
                <w:lang w:eastAsia="lt-LT"/>
              </w:rPr>
            </w:pPr>
            <w:r>
              <w:rPr>
                <w:rFonts w:eastAsia="Calibri"/>
                <w:bCs/>
                <w:lang w:eastAsia="lt-LT"/>
              </w:rPr>
              <w:t>Nekilnojamasis turtas</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C757A15" w14:textId="77777777" w:rsidR="00C316FE" w:rsidRDefault="000162AA">
            <w:pPr>
              <w:spacing w:line="276" w:lineRule="auto"/>
              <w:ind w:right="-57"/>
              <w:rPr>
                <w:rFonts w:eastAsia="Calibri"/>
                <w:szCs w:val="24"/>
                <w:lang w:eastAsia="lt-LT"/>
              </w:rPr>
            </w:pPr>
            <w:r>
              <w:rPr>
                <w:rFonts w:eastAsia="Calibri"/>
                <w:lang w:eastAsia="lt-LT"/>
              </w:rPr>
              <w:t>Netinkama finansuoti</w:t>
            </w:r>
          </w:p>
        </w:tc>
      </w:tr>
      <w:tr w:rsidR="00C316FE" w14:paraId="6C757A1A" w14:textId="77777777">
        <w:tc>
          <w:tcPr>
            <w:tcW w:w="1447" w:type="dxa"/>
            <w:tcBorders>
              <w:top w:val="single" w:sz="4" w:space="0" w:color="auto"/>
              <w:left w:val="single" w:sz="4" w:space="0" w:color="auto"/>
              <w:bottom w:val="single" w:sz="4" w:space="0" w:color="auto"/>
              <w:right w:val="single" w:sz="4" w:space="0" w:color="auto"/>
            </w:tcBorders>
            <w:shd w:val="clear" w:color="auto" w:fill="FFFFFF"/>
            <w:hideMark/>
          </w:tcPr>
          <w:p w14:paraId="6C757A17" w14:textId="77777777" w:rsidR="00C316FE" w:rsidRDefault="000162AA">
            <w:pPr>
              <w:spacing w:line="276" w:lineRule="auto"/>
              <w:ind w:right="-57"/>
              <w:jc w:val="center"/>
              <w:rPr>
                <w:rFonts w:eastAsia="Calibri"/>
                <w:bCs/>
                <w:szCs w:val="24"/>
                <w:lang w:eastAsia="lt-LT"/>
              </w:rPr>
            </w:pPr>
            <w:r>
              <w:rPr>
                <w:rFonts w:eastAsia="Calibri"/>
                <w:bCs/>
                <w:lang w:eastAsia="lt-LT"/>
              </w:rPr>
              <w:t>3.</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18" w14:textId="77777777" w:rsidR="00C316FE" w:rsidRDefault="000162AA">
            <w:pPr>
              <w:spacing w:line="276" w:lineRule="auto"/>
              <w:ind w:left="-57" w:right="-57"/>
              <w:rPr>
                <w:rFonts w:eastAsia="Calibri"/>
                <w:bCs/>
                <w:szCs w:val="24"/>
                <w:lang w:eastAsia="lt-LT"/>
              </w:rPr>
            </w:pPr>
            <w:r>
              <w:rPr>
                <w:rFonts w:eastAsia="Calibri"/>
                <w:bCs/>
                <w:lang w:eastAsia="lt-LT"/>
              </w:rPr>
              <w:t>Statyba, rekonstravimas, remontas ir kiti darbai</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C757A19" w14:textId="77777777" w:rsidR="00C316FE" w:rsidRDefault="000162AA">
            <w:pPr>
              <w:spacing w:line="276" w:lineRule="auto"/>
              <w:ind w:right="-57"/>
              <w:rPr>
                <w:rFonts w:eastAsia="Calibri"/>
                <w:szCs w:val="24"/>
                <w:lang w:eastAsia="lt-LT"/>
              </w:rPr>
            </w:pPr>
            <w:r>
              <w:rPr>
                <w:rFonts w:eastAsia="Calibri"/>
                <w:lang w:eastAsia="lt-LT"/>
              </w:rPr>
              <w:t>Netinkama finansuoti</w:t>
            </w:r>
          </w:p>
        </w:tc>
      </w:tr>
      <w:tr w:rsidR="00C316FE" w14:paraId="6C757A1E" w14:textId="77777777">
        <w:tc>
          <w:tcPr>
            <w:tcW w:w="1447" w:type="dxa"/>
            <w:tcBorders>
              <w:top w:val="single" w:sz="4" w:space="0" w:color="auto"/>
              <w:left w:val="single" w:sz="4" w:space="0" w:color="auto"/>
              <w:bottom w:val="single" w:sz="4" w:space="0" w:color="auto"/>
              <w:right w:val="single" w:sz="4" w:space="0" w:color="auto"/>
            </w:tcBorders>
            <w:shd w:val="clear" w:color="auto" w:fill="FFFFFF"/>
            <w:hideMark/>
          </w:tcPr>
          <w:p w14:paraId="6C757A1B" w14:textId="77777777" w:rsidR="00C316FE" w:rsidRDefault="000162AA">
            <w:pPr>
              <w:spacing w:line="276" w:lineRule="auto"/>
              <w:ind w:right="-57"/>
              <w:jc w:val="center"/>
              <w:rPr>
                <w:rFonts w:eastAsia="Calibri"/>
                <w:bCs/>
                <w:szCs w:val="24"/>
                <w:lang w:eastAsia="lt-LT"/>
              </w:rPr>
            </w:pPr>
            <w:r>
              <w:rPr>
                <w:rFonts w:eastAsia="Calibri"/>
                <w:bCs/>
                <w:lang w:eastAsia="lt-LT"/>
              </w:rPr>
              <w:t>4.</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1C" w14:textId="77777777" w:rsidR="00C316FE" w:rsidRDefault="000162AA">
            <w:pPr>
              <w:spacing w:line="276" w:lineRule="auto"/>
              <w:ind w:left="-57" w:right="-57"/>
              <w:rPr>
                <w:rFonts w:eastAsia="Calibri"/>
                <w:bCs/>
                <w:szCs w:val="24"/>
                <w:lang w:eastAsia="lt-LT"/>
              </w:rPr>
            </w:pPr>
            <w:r>
              <w:rPr>
                <w:rFonts w:eastAsia="Calibri"/>
                <w:bCs/>
                <w:lang w:eastAsia="lt-LT"/>
              </w:rPr>
              <w:t>Įranga, įrenginiai ir kitas turtas</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C757A1D" w14:textId="77777777" w:rsidR="00C316FE" w:rsidRDefault="000162AA">
            <w:pPr>
              <w:spacing w:line="276" w:lineRule="auto"/>
              <w:ind w:right="-57"/>
              <w:rPr>
                <w:rFonts w:eastAsia="Calibri"/>
                <w:szCs w:val="24"/>
                <w:lang w:eastAsia="lt-LT"/>
              </w:rPr>
            </w:pPr>
            <w:r>
              <w:rPr>
                <w:rFonts w:eastAsia="Calibri"/>
                <w:lang w:eastAsia="lt-LT"/>
              </w:rPr>
              <w:t>Netinkama finansuoti</w:t>
            </w:r>
          </w:p>
        </w:tc>
      </w:tr>
      <w:tr w:rsidR="00C316FE" w14:paraId="6C757A27" w14:textId="77777777">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1F" w14:textId="77777777" w:rsidR="00C316FE" w:rsidRDefault="000162AA">
            <w:pPr>
              <w:spacing w:line="276" w:lineRule="auto"/>
              <w:jc w:val="center"/>
              <w:rPr>
                <w:rFonts w:eastAsia="Calibri"/>
                <w:szCs w:val="24"/>
                <w:lang w:eastAsia="lt-LT"/>
              </w:rPr>
            </w:pPr>
            <w:r>
              <w:rPr>
                <w:rFonts w:eastAsia="Calibri"/>
                <w:lang w:eastAsia="lt-LT"/>
              </w:rPr>
              <w:t>5.</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20" w14:textId="77777777" w:rsidR="00C316FE" w:rsidRDefault="000162AA">
            <w:pPr>
              <w:spacing w:line="276" w:lineRule="auto"/>
              <w:rPr>
                <w:rFonts w:eastAsia="Calibri"/>
                <w:szCs w:val="24"/>
                <w:lang w:eastAsia="lt-LT"/>
              </w:rPr>
            </w:pPr>
            <w:r>
              <w:rPr>
                <w:rFonts w:eastAsia="Calibri"/>
                <w:lang w:eastAsia="lt-LT"/>
              </w:rPr>
              <w:t>Projekto vykdymas</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21" w14:textId="77777777" w:rsidR="00C316FE" w:rsidRDefault="000162AA">
            <w:pPr>
              <w:widowControl w:val="0"/>
              <w:spacing w:line="276" w:lineRule="auto"/>
              <w:jc w:val="both"/>
              <w:rPr>
                <w:rFonts w:eastAsia="Calibri"/>
                <w:lang w:eastAsia="lt-LT"/>
              </w:rPr>
            </w:pPr>
            <w:r>
              <w:rPr>
                <w:rFonts w:eastAsia="Calibri"/>
                <w:lang w:eastAsia="lt-LT"/>
              </w:rPr>
              <w:t xml:space="preserve">Tinkamomis finansuoti laikomos projektą vykdančio personalo darbo užmokesčio išlaidos, jei projekto vykdytojas (partneris) pats vykdo projekto veiklas (ar jų dalį), ir išorės tiekėjo personalo atlygio pagal paslaugų (civilines) ir kitas sutartis išlaidos, jei šias išlaidas galima aiškiai atskirti. </w:t>
            </w:r>
          </w:p>
          <w:p w14:paraId="6C757A22" w14:textId="77777777" w:rsidR="00C316FE" w:rsidRDefault="000162AA">
            <w:pPr>
              <w:spacing w:line="276" w:lineRule="auto"/>
              <w:jc w:val="both"/>
              <w:rPr>
                <w:rFonts w:eastAsia="Calibri"/>
              </w:rPr>
            </w:pPr>
            <w:r>
              <w:rPr>
                <w:rFonts w:eastAsia="Calibri"/>
                <w:color w:val="000000"/>
                <w:shd w:val="clear" w:color="auto" w:fill="FFFFFF"/>
              </w:rPr>
              <w:t>Valstybės ar savivaldybių biudžetinių įstaigų darbuotojui mokamo darbo užmokesčio dydis turi būti nustatomas vadovaujantis Lietuvos Respublikos valstybės ir savivaldybių įstaigų darbuotojų ir komisijų narių darbo apmokėjimo įstatymu.</w:t>
            </w:r>
            <w:r>
              <w:rPr>
                <w:rFonts w:eastAsia="Calibri"/>
              </w:rPr>
              <w:t xml:space="preserve"> </w:t>
            </w:r>
          </w:p>
          <w:p w14:paraId="6C757A23" w14:textId="77777777" w:rsidR="00C316FE" w:rsidRDefault="000162AA">
            <w:pPr>
              <w:spacing w:line="276" w:lineRule="auto"/>
              <w:jc w:val="both"/>
              <w:rPr>
                <w:rFonts w:eastAsia="Calibri"/>
              </w:rPr>
            </w:pPr>
            <w:r>
              <w:rPr>
                <w:rFonts w:eastAsia="Calibri"/>
              </w:rPr>
              <w:t xml:space="preserve">Kitų įstaigų darbuotojų darbo užmokesčio išlaidos neturi viršyti atitinkamos specializacijos ir kvalifikacijos darbuotojų vidutinio darbo užmokesčio, išskyrus tinkamai pagrįstus atvejus. </w:t>
            </w:r>
          </w:p>
          <w:p w14:paraId="6C757A24" w14:textId="77777777" w:rsidR="00C316FE" w:rsidRDefault="000162AA">
            <w:pPr>
              <w:spacing w:line="276" w:lineRule="auto"/>
              <w:jc w:val="both"/>
              <w:rPr>
                <w:rFonts w:eastAsia="Calibri"/>
              </w:rPr>
            </w:pPr>
            <w:r>
              <w:rPr>
                <w:rFonts w:eastAsia="Calibri"/>
              </w:rPr>
              <w:t xml:space="preserve">Su darbuotojais, vykdančiais tiesiogines projekto veiklas, turi būti sudaromos darbo sutartys, jei tas darbas yra pagrindinis, arba papildomos esamos darbo sutartys, jei, be pagrindinių pareigų, sulygstama ir dėl papildomų funkcijų įgyvendinant projektą (tokiu atveju sutartyje turi būti aiškiai įvardyta, kiek laiko dirbama prie projekto, ir nurodomas atlygis už papildomas funkcijas įgyvendinant projektą). </w:t>
            </w:r>
          </w:p>
          <w:p w14:paraId="6C757A25" w14:textId="77777777" w:rsidR="00C316FE" w:rsidRDefault="000162AA">
            <w:pPr>
              <w:spacing w:line="276" w:lineRule="auto"/>
              <w:jc w:val="both"/>
              <w:rPr>
                <w:rFonts w:eastAsia="Calibri"/>
              </w:rPr>
            </w:pPr>
            <w:r>
              <w:rPr>
                <w:rFonts w:eastAsia="Calibri"/>
              </w:rPr>
              <w:t xml:space="preserve">Asmenims, einantiems valstybės tarnautojo pareigas projekto vykdytojo ar partnerio institucijoje, taikomos Lietuvos </w:t>
            </w:r>
            <w:r>
              <w:rPr>
                <w:rFonts w:eastAsia="Calibri"/>
              </w:rPr>
              <w:lastRenderedPageBreak/>
              <w:t>Respublikos valstybės tarnybos įstatymo 19 straipsnio 1 dalies 2 punkto nuostatos ir atskiros darbo sutartys nesudaromos.</w:t>
            </w:r>
          </w:p>
          <w:p w14:paraId="6C757A26" w14:textId="77777777" w:rsidR="00C316FE" w:rsidRDefault="000162AA">
            <w:pPr>
              <w:spacing w:line="276" w:lineRule="auto"/>
              <w:jc w:val="both"/>
              <w:rPr>
                <w:rFonts w:eastAsia="Calibri"/>
                <w:szCs w:val="24"/>
                <w:lang w:eastAsia="lt-LT"/>
              </w:rPr>
            </w:pPr>
            <w:r>
              <w:rPr>
                <w:rFonts w:eastAsia="Calibri"/>
              </w:rPr>
              <w:t>Projekto vykdytojas privalo užtikrinti, kad projektą vykdantys darbuotojai turėtų išsilavinimą ir kvalifikaciją, atitinkančius projekte numatytas vykdyti funkcijas ir pareigas</w:t>
            </w:r>
          </w:p>
        </w:tc>
      </w:tr>
      <w:tr w:rsidR="00C316FE" w14:paraId="6C757A2B" w14:textId="77777777">
        <w:trPr>
          <w:trHeight w:val="581"/>
        </w:trPr>
        <w:tc>
          <w:tcPr>
            <w:tcW w:w="1447" w:type="dxa"/>
            <w:tcBorders>
              <w:top w:val="single" w:sz="4" w:space="0" w:color="auto"/>
              <w:left w:val="single" w:sz="4" w:space="0" w:color="auto"/>
              <w:bottom w:val="single" w:sz="4" w:space="0" w:color="auto"/>
              <w:right w:val="single" w:sz="4" w:space="0" w:color="auto"/>
            </w:tcBorders>
            <w:shd w:val="clear" w:color="auto" w:fill="FFFFFF"/>
            <w:hideMark/>
          </w:tcPr>
          <w:p w14:paraId="6C757A28" w14:textId="77777777" w:rsidR="00C316FE" w:rsidRDefault="000162AA">
            <w:pPr>
              <w:spacing w:line="276" w:lineRule="auto"/>
              <w:jc w:val="center"/>
              <w:rPr>
                <w:rFonts w:eastAsia="Calibri"/>
                <w:bCs/>
                <w:szCs w:val="24"/>
                <w:lang w:eastAsia="lt-LT"/>
              </w:rPr>
            </w:pPr>
            <w:r>
              <w:rPr>
                <w:rFonts w:eastAsia="Calibri"/>
                <w:bCs/>
                <w:lang w:eastAsia="lt-LT"/>
              </w:rPr>
              <w:lastRenderedPageBreak/>
              <w:t>6.</w:t>
            </w:r>
          </w:p>
        </w:tc>
        <w:tc>
          <w:tcPr>
            <w:tcW w:w="1957" w:type="dxa"/>
            <w:tcBorders>
              <w:top w:val="single" w:sz="4" w:space="0" w:color="auto"/>
              <w:left w:val="single" w:sz="4" w:space="0" w:color="auto"/>
              <w:bottom w:val="single" w:sz="4" w:space="0" w:color="auto"/>
              <w:right w:val="single" w:sz="4" w:space="0" w:color="auto"/>
            </w:tcBorders>
            <w:shd w:val="clear" w:color="auto" w:fill="FFFFFF"/>
            <w:hideMark/>
          </w:tcPr>
          <w:p w14:paraId="6C757A29" w14:textId="77777777" w:rsidR="00C316FE" w:rsidRDefault="000162AA">
            <w:pPr>
              <w:spacing w:line="276" w:lineRule="auto"/>
              <w:rPr>
                <w:rFonts w:eastAsia="Calibri"/>
                <w:bCs/>
                <w:szCs w:val="24"/>
                <w:lang w:eastAsia="lt-LT"/>
              </w:rPr>
            </w:pPr>
            <w:r>
              <w:rPr>
                <w:rFonts w:eastAsia="Calibri"/>
                <w:bCs/>
                <w:lang w:eastAsia="lt-LT"/>
              </w:rPr>
              <w:t>Informavimas apie projektą</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C757A2A" w14:textId="77777777" w:rsidR="00C316FE" w:rsidRDefault="000162AA">
            <w:pPr>
              <w:spacing w:line="276" w:lineRule="auto"/>
              <w:jc w:val="both"/>
              <w:rPr>
                <w:rFonts w:eastAsia="Calibri"/>
                <w:szCs w:val="24"/>
              </w:rPr>
            </w:pPr>
            <w:r>
              <w:rPr>
                <w:rFonts w:eastAsia="Calibri"/>
              </w:rPr>
              <w:t>Netinkama finansuoti</w:t>
            </w:r>
          </w:p>
        </w:tc>
      </w:tr>
      <w:tr w:rsidR="00C316FE" w14:paraId="6C757A31" w14:textId="77777777">
        <w:trPr>
          <w:trHeight w:val="549"/>
        </w:trPr>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2C" w14:textId="77777777" w:rsidR="00C316FE" w:rsidRDefault="000162AA">
            <w:pPr>
              <w:spacing w:line="276" w:lineRule="auto"/>
              <w:jc w:val="center"/>
              <w:rPr>
                <w:rFonts w:eastAsia="Calibri"/>
                <w:szCs w:val="24"/>
                <w:lang w:eastAsia="lt-LT"/>
              </w:rPr>
            </w:pPr>
            <w:r>
              <w:rPr>
                <w:rFonts w:eastAsia="Calibri"/>
                <w:lang w:eastAsia="lt-LT"/>
              </w:rPr>
              <w:t>7.</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2D" w14:textId="77777777" w:rsidR="00C316FE" w:rsidRDefault="000162AA">
            <w:pPr>
              <w:spacing w:line="276" w:lineRule="auto"/>
              <w:rPr>
                <w:rFonts w:eastAsia="Calibri"/>
                <w:szCs w:val="24"/>
                <w:lang w:eastAsia="lt-LT"/>
              </w:rPr>
            </w:pPr>
            <w:r>
              <w:rPr>
                <w:rFonts w:eastAsia="Calibri"/>
                <w:lang w:eastAsia="lt-LT"/>
              </w:rPr>
              <w:t>Netiesioginės išlaidos ir kitos išlaidos pagal fiksuotąją projekto išlaidų normą</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57A2E" w14:textId="77777777" w:rsidR="00C316FE" w:rsidRDefault="000162AA">
            <w:pPr>
              <w:spacing w:line="276" w:lineRule="auto"/>
              <w:jc w:val="both"/>
              <w:rPr>
                <w:rFonts w:eastAsia="Calibri"/>
                <w:lang w:eastAsia="lt-LT"/>
              </w:rPr>
            </w:pPr>
            <w:r>
              <w:rPr>
                <w:rFonts w:eastAsia="Calibri"/>
                <w:lang w:eastAsia="lt-LT"/>
              </w:rPr>
              <w:t xml:space="preserve">Tinkamomis finansuoti laikomos įrangos, įrenginių ir kito turto įsigijimo (nuomos, nusidėvėjimo), projektui vykdyti reikalingų prekių ir paslaugų įsigijimo, kelionių, komandiruočių, viešinimo ir informavimo apie projektą, darbo užmokesčio (pvz., projektą administruojančio personalo, projekto dalyvių, projektą vykdančio personalo) ir kitos projektui įgyvendinti reikalingos išlaidos, atitinkančios Rekomendacijose dėl projektų išlaidų atitikties Europos Sąjungos struktūrinių fondų reikalavimams nustatytus reikalavimus. </w:t>
            </w:r>
          </w:p>
          <w:p w14:paraId="6C757A30" w14:textId="77777777" w:rsidR="00C316FE" w:rsidRDefault="000162AA">
            <w:pPr>
              <w:spacing w:line="276" w:lineRule="auto"/>
              <w:jc w:val="both"/>
              <w:rPr>
                <w:rFonts w:eastAsia="Calibri"/>
                <w:szCs w:val="24"/>
                <w:lang w:eastAsia="lt-LT"/>
              </w:rPr>
            </w:pPr>
            <w:r>
              <w:rPr>
                <w:rFonts w:eastAsia="Calibri"/>
              </w:rPr>
              <w:t>Projekto vykdytojas turi apdrausti projektui įgyvendinti skirtą ilgalaikį</w:t>
            </w:r>
            <w:r>
              <w:rPr>
                <w:rFonts w:eastAsia="Calibri"/>
                <w:i/>
              </w:rPr>
              <w:t xml:space="preserve"> </w:t>
            </w:r>
            <w:r>
              <w:rPr>
                <w:rFonts w:eastAsia="Calibri"/>
              </w:rPr>
              <w:t>materialųjį turtą, kuris įsigytas ar sukurtas iš projektui skirto finansavimo lėšų, maksimaliu turto atkuriamosios vertės draudimu nuo visų galimų rizikos atvejų. Turtas turi būti apdraustas projekto įgyvendinimo laikotarpiui nuo tada, kai yra sukuriamas ar įsigyjamas. Įvykus draudžiamajam įvykiui, projekto vykdytojas turi atkurti prarastą turtą, taip pat užtikrinti, kad tokio įsipareigojimo laikytųsi ir partneris (-</w:t>
            </w:r>
            <w:proofErr w:type="spellStart"/>
            <w:r>
              <w:rPr>
                <w:rFonts w:eastAsia="Calibri"/>
              </w:rPr>
              <w:t>iai</w:t>
            </w:r>
            <w:proofErr w:type="spellEnd"/>
            <w:r>
              <w:rPr>
                <w:rFonts w:eastAsia="Calibri"/>
              </w:rPr>
              <w:t>)</w:t>
            </w:r>
          </w:p>
        </w:tc>
      </w:tr>
    </w:tbl>
    <w:p w14:paraId="6C757A32" w14:textId="77777777" w:rsidR="00C316FE" w:rsidRDefault="00C316FE">
      <w:pPr>
        <w:tabs>
          <w:tab w:val="left" w:pos="1276"/>
        </w:tabs>
        <w:jc w:val="both"/>
        <w:rPr>
          <w:b/>
          <w:sz w:val="20"/>
          <w:lang w:eastAsia="lt-LT"/>
        </w:rPr>
      </w:pPr>
    </w:p>
    <w:p w14:paraId="6C757A34" w14:textId="77777777" w:rsidR="00C316FE" w:rsidRDefault="00C316FE">
      <w:pPr>
        <w:tabs>
          <w:tab w:val="left" w:pos="1276"/>
        </w:tabs>
        <w:jc w:val="both"/>
        <w:rPr>
          <w:rFonts w:eastAsia="Calibri"/>
          <w:sz w:val="20"/>
          <w:lang w:eastAsia="lt-LT"/>
        </w:rPr>
      </w:pPr>
    </w:p>
    <w:p w14:paraId="6C757A35" w14:textId="6C881D40" w:rsidR="00C316FE" w:rsidRDefault="00203201">
      <w:pPr>
        <w:ind w:firstLine="851"/>
        <w:jc w:val="both"/>
        <w:rPr>
          <w:lang w:eastAsia="lt-LT"/>
        </w:rPr>
      </w:pPr>
      <w:r>
        <w:rPr>
          <w:lang w:eastAsia="lt-LT"/>
        </w:rPr>
        <w:t>5</w:t>
      </w:r>
      <w:r w:rsidR="000162AA">
        <w:rPr>
          <w:lang w:eastAsia="lt-LT"/>
        </w:rPr>
        <w:t>.</w:t>
      </w:r>
      <w:r w:rsidR="000162AA">
        <w:rPr>
          <w:vertAlign w:val="superscript"/>
          <w:lang w:eastAsia="lt-LT"/>
        </w:rPr>
        <w:t xml:space="preserve"> </w:t>
      </w:r>
      <w:r w:rsidR="000162AA">
        <w:rPr>
          <w:lang w:eastAsia="lt-LT"/>
        </w:rPr>
        <w:t xml:space="preserve">Įgyvendinant projekto veiklas patirtos </w:t>
      </w:r>
      <w:r w:rsidR="000162AA">
        <w:t xml:space="preserve">socialinio darbuotojo, individualios priežiūros (užimtumo) specialisto darbo užmokesčio </w:t>
      </w:r>
      <w:r w:rsidR="000162AA">
        <w:rPr>
          <w:lang w:eastAsia="lt-LT"/>
        </w:rPr>
        <w:t>išlaidos apmokamos taikant fiksuotuosius įkainius:</w:t>
      </w:r>
    </w:p>
    <w:p w14:paraId="6C757A36" w14:textId="32EA88D2" w:rsidR="00C316FE" w:rsidRDefault="00203201">
      <w:pPr>
        <w:ind w:firstLine="851"/>
        <w:jc w:val="both"/>
        <w:rPr>
          <w:rFonts w:eastAsia="Calibri"/>
          <w:lang w:eastAsia="lt-LT"/>
        </w:rPr>
      </w:pPr>
      <w:r>
        <w:rPr>
          <w:lang w:eastAsia="lt-LT"/>
        </w:rPr>
        <w:t>5</w:t>
      </w:r>
      <w:r w:rsidR="000162AA">
        <w:rPr>
          <w:lang w:eastAsia="lt-LT"/>
        </w:rPr>
        <w:t xml:space="preserve">.1. patirtos socialinio darbuotojo darbo užmokesčio išlaidos apmokamos taikant </w:t>
      </w:r>
      <w:r w:rsidR="000162AA">
        <w:rPr>
          <w:iCs/>
          <w:color w:val="000000"/>
        </w:rPr>
        <w:t>socialinio darbuotojo darbo užmokesčio</w:t>
      </w:r>
      <w:r w:rsidR="000162AA">
        <w:rPr>
          <w:rFonts w:ascii="TimesLT" w:hAnsi="TimesLT"/>
          <w:i/>
          <w:iCs/>
          <w:color w:val="000000"/>
          <w:sz w:val="20"/>
        </w:rPr>
        <w:t xml:space="preserve"> </w:t>
      </w:r>
      <w:r w:rsidR="000162AA">
        <w:rPr>
          <w:lang w:eastAsia="lt-LT"/>
        </w:rPr>
        <w:t>fiksuotąjį įkainį.</w:t>
      </w:r>
      <w:r w:rsidR="000162AA">
        <w:rPr>
          <w:i/>
          <w:lang w:eastAsia="lt-LT"/>
        </w:rPr>
        <w:t xml:space="preserve"> </w:t>
      </w:r>
      <w:r w:rsidR="000162AA">
        <w:rPr>
          <w:lang w:eastAsia="lt-LT"/>
        </w:rPr>
        <w:t xml:space="preserve">Įkainis nustatytas vadovaujantis 2015 m. rugpjūčio 26 d. atliktu Asmenų, priklausomų nuo psichoaktyviųjų medžiagų, reabilitacijos fiksuotųjų įkainių nustatymo tyrimu, kuris skelbiamas </w:t>
      </w:r>
      <w:r w:rsidR="000162AA">
        <w:t>ES struktūrinių fondų interneto svetainės www.esinvesticijos.lt</w:t>
      </w:r>
      <w:r w:rsidR="000162AA">
        <w:rPr>
          <w:lang w:eastAsia="lt-LT"/>
        </w:rPr>
        <w:t xml:space="preserve"> skiltyje „Dokumentai“, ieškant „Tyrimai“, „Supaprastinto išlaidų apmokėjimo tyrimai“</w:t>
      </w:r>
      <w:r w:rsidR="000162AA">
        <w:rPr>
          <w:rFonts w:eastAsia="Calibri"/>
          <w:lang w:eastAsia="lt-LT"/>
        </w:rPr>
        <w:t>;</w:t>
      </w:r>
    </w:p>
    <w:p w14:paraId="6C757A37" w14:textId="38446D31" w:rsidR="00C316FE" w:rsidRDefault="00203201">
      <w:pPr>
        <w:ind w:firstLine="851"/>
        <w:jc w:val="both"/>
        <w:rPr>
          <w:rFonts w:eastAsia="Calibri"/>
          <w:lang w:eastAsia="lt-LT"/>
        </w:rPr>
      </w:pPr>
      <w:r>
        <w:rPr>
          <w:lang w:eastAsia="lt-LT"/>
        </w:rPr>
        <w:t>5</w:t>
      </w:r>
      <w:r w:rsidR="000162AA">
        <w:rPr>
          <w:lang w:eastAsia="lt-LT"/>
        </w:rPr>
        <w:t xml:space="preserve">.2. patirtos </w:t>
      </w:r>
      <w:r w:rsidR="000162AA">
        <w:t>individualios priežiūros (užimtumo) specialisto</w:t>
      </w:r>
      <w:r w:rsidR="000162AA">
        <w:rPr>
          <w:lang w:eastAsia="lt-LT"/>
        </w:rPr>
        <w:t xml:space="preserve"> darbo užmokesčio išlaidos apmokamos taikant </w:t>
      </w:r>
      <w:r w:rsidR="000162AA">
        <w:t>individualios priežiūros (užimtumo) specialisto</w:t>
      </w:r>
      <w:r w:rsidR="000162AA">
        <w:rPr>
          <w:iCs/>
          <w:color w:val="000000"/>
        </w:rPr>
        <w:t xml:space="preserve"> darbo užmokesčio</w:t>
      </w:r>
      <w:r w:rsidR="000162AA">
        <w:rPr>
          <w:rFonts w:ascii="TimesLT" w:hAnsi="TimesLT"/>
          <w:i/>
          <w:iCs/>
          <w:color w:val="000000"/>
          <w:sz w:val="20"/>
        </w:rPr>
        <w:t xml:space="preserve"> </w:t>
      </w:r>
      <w:r w:rsidR="000162AA">
        <w:rPr>
          <w:lang w:eastAsia="lt-LT"/>
        </w:rPr>
        <w:t>fiksuotąjį įkainį.</w:t>
      </w:r>
      <w:r w:rsidR="000162AA">
        <w:rPr>
          <w:i/>
          <w:lang w:eastAsia="lt-LT"/>
        </w:rPr>
        <w:t xml:space="preserve"> </w:t>
      </w:r>
      <w:r w:rsidR="000162AA">
        <w:rPr>
          <w:lang w:eastAsia="lt-LT"/>
        </w:rPr>
        <w:t xml:space="preserve">Įkainis nustatytas vadovaujantis 2015 m. rugpjūčio 26 d. atliktu Asmenų, priklausomų nuo psichoaktyviųjų medžiagų, reabilitacijos fiksuotųjų įkainių nustatymo tyrimu, kuris skelbiamas </w:t>
      </w:r>
      <w:r w:rsidR="000162AA">
        <w:t>ES struktūrinių fondų interneto svetainės www.esinvesticijos.lt</w:t>
      </w:r>
      <w:r w:rsidR="000162AA">
        <w:rPr>
          <w:lang w:eastAsia="lt-LT"/>
        </w:rPr>
        <w:t xml:space="preserve"> skiltyje „Dokumentai“, ieškant „Tyrimai“, „Supaprastinto išlaidų apmokėjimo tyrimai“</w:t>
      </w:r>
      <w:r w:rsidR="000162AA">
        <w:rPr>
          <w:rFonts w:eastAsia="Calibri"/>
          <w:lang w:eastAsia="lt-LT"/>
        </w:rPr>
        <w:t>;</w:t>
      </w:r>
    </w:p>
    <w:p w14:paraId="6C757A39" w14:textId="55507BA0" w:rsidR="00C316FE" w:rsidRDefault="00203201">
      <w:pPr>
        <w:tabs>
          <w:tab w:val="left" w:pos="0"/>
          <w:tab w:val="left" w:pos="1276"/>
          <w:tab w:val="left" w:pos="1418"/>
        </w:tabs>
        <w:ind w:firstLine="851"/>
        <w:jc w:val="both"/>
        <w:rPr>
          <w:rFonts w:eastAsia="Calibri"/>
        </w:rPr>
      </w:pPr>
      <w:r>
        <w:rPr>
          <w:rFonts w:eastAsia="Calibri"/>
          <w:color w:val="000000"/>
        </w:rPr>
        <w:t>6</w:t>
      </w:r>
      <w:r w:rsidR="000162AA">
        <w:rPr>
          <w:rFonts w:eastAsia="Calibri"/>
          <w:color w:val="000000"/>
        </w:rPr>
        <w:t>.</w:t>
      </w:r>
      <w:r w:rsidR="000162AA">
        <w:rPr>
          <w:rFonts w:eastAsia="Calibri"/>
          <w:color w:val="000000"/>
        </w:rPr>
        <w:tab/>
      </w:r>
      <w:r w:rsidR="000162AA">
        <w:rPr>
          <w:rFonts w:eastAsia="Calibri"/>
        </w:rPr>
        <w:t xml:space="preserve">Projektą vykdančio personalo darbo užmokesčio už kasmetines atostogas ir (ar) kompensacijos už nepanaudotas kasmetines atostogas </w:t>
      </w:r>
      <w:r w:rsidR="000162AA">
        <w:t>bei darbo užmokesčio už papildomas poilsio dienas išlaidos</w:t>
      </w:r>
      <w:r w:rsidR="000162AA">
        <w:rPr>
          <w:rFonts w:eastAsia="Calibri"/>
        </w:rPr>
        <w:t>, jei darbo užmokesčio išlaidoms apmokėti netaikomi fiksuotieji įkainiai, apmokamos taikant kasmetinių atostogų ir papildomų poilsio dienų išmokų fiksuotąsias normas, kurios nustatomos atsižvelgiant į konkrečiam darbuotojui priklausantį kasmetinių atostogų dienų ir papildomų poilsio dienų skaičių bei jam nustatytos darbo savaitės trukmę. Kasmetinių atostogų ir poilsio dienų išmokų fiksuotosios normos apskaičiuojamos vadovaujantis 2016 m. sausio 19 d. atliktu Kasmetinių atostogų išmokų fiksuotųjų normų nustatymo tyrimu. Tyrimas skelbiamas ES struktūrinių fondų interneto svetainės www.esinvesticijos.lt</w:t>
      </w:r>
      <w:r w:rsidR="000162AA">
        <w:rPr>
          <w:rFonts w:eastAsia="Calibri"/>
          <w:lang w:eastAsia="lt-LT"/>
        </w:rPr>
        <w:t xml:space="preserve"> skiltyje „Dokumentai“, ieškant „Tyrimai“, „Supaprastinto išlaidų apmokėjimo tyrimai“</w:t>
      </w:r>
      <w:r w:rsidR="000162AA">
        <w:rPr>
          <w:rFonts w:eastAsia="Calibri"/>
        </w:rPr>
        <w:t>.</w:t>
      </w:r>
    </w:p>
    <w:p w14:paraId="6C757A3B" w14:textId="08488FA2" w:rsidR="00C316FE" w:rsidRDefault="00203201">
      <w:pPr>
        <w:tabs>
          <w:tab w:val="left" w:pos="0"/>
          <w:tab w:val="left" w:pos="1276"/>
          <w:tab w:val="left" w:pos="1418"/>
        </w:tabs>
        <w:ind w:firstLine="851"/>
        <w:jc w:val="both"/>
        <w:rPr>
          <w:rFonts w:eastAsia="Calibri"/>
          <w:color w:val="000000"/>
        </w:rPr>
      </w:pPr>
      <w:r>
        <w:rPr>
          <w:rFonts w:eastAsia="Calibri"/>
          <w:color w:val="000000"/>
        </w:rPr>
        <w:lastRenderedPageBreak/>
        <w:t>7</w:t>
      </w:r>
      <w:r w:rsidR="000162AA">
        <w:rPr>
          <w:rFonts w:eastAsia="Calibri"/>
          <w:color w:val="000000"/>
        </w:rPr>
        <w:t>.</w:t>
      </w:r>
      <w:r w:rsidR="000162AA">
        <w:rPr>
          <w:rFonts w:eastAsia="Calibri"/>
          <w:color w:val="000000"/>
        </w:rPr>
        <w:tab/>
      </w:r>
      <w:r w:rsidR="000162AA">
        <w:rPr>
          <w:rFonts w:eastAsia="Calibri"/>
          <w:lang w:eastAsia="lt-LT"/>
        </w:rPr>
        <w:t>Išlaidos, apmokamos taikant nurodytas fiksuotąsias normas ir nurodytus fiksuotuosius įkainius, turi atitikti šias nuostatas:</w:t>
      </w:r>
    </w:p>
    <w:p w14:paraId="6C757A3D" w14:textId="02D1BFDC" w:rsidR="00C316FE" w:rsidRDefault="009C12CB">
      <w:pPr>
        <w:tabs>
          <w:tab w:val="left" w:pos="1276"/>
          <w:tab w:val="left" w:pos="1333"/>
          <w:tab w:val="left" w:pos="1418"/>
        </w:tabs>
        <w:ind w:firstLine="851"/>
        <w:jc w:val="both"/>
        <w:rPr>
          <w:rFonts w:eastAsia="Calibri"/>
        </w:rPr>
      </w:pPr>
      <w:r>
        <w:rPr>
          <w:rFonts w:eastAsia="Calibri"/>
        </w:rPr>
        <w:t>7</w:t>
      </w:r>
      <w:r w:rsidR="000162AA">
        <w:rPr>
          <w:rFonts w:eastAsia="Calibri"/>
        </w:rPr>
        <w:t>.</w:t>
      </w:r>
      <w:r>
        <w:rPr>
          <w:rFonts w:eastAsia="Calibri"/>
        </w:rPr>
        <w:t>1</w:t>
      </w:r>
      <w:r w:rsidR="000162AA">
        <w:rPr>
          <w:rFonts w:eastAsia="Calibri"/>
        </w:rPr>
        <w:t>.</w:t>
      </w:r>
      <w:r w:rsidR="000162AA">
        <w:rPr>
          <w:rFonts w:eastAsia="Calibri"/>
        </w:rPr>
        <w:tab/>
        <w:t xml:space="preserve"> pareiškėjas turi teisę paraiškoje numatyti mažesnius fiksuotųjų įkainių dydžius nei jam taikomi Apraše nustatyti dydžiai;</w:t>
      </w:r>
    </w:p>
    <w:p w14:paraId="6C757A3E" w14:textId="18E01718" w:rsidR="00C316FE" w:rsidRDefault="009C12CB">
      <w:pPr>
        <w:tabs>
          <w:tab w:val="left" w:pos="1276"/>
          <w:tab w:val="left" w:pos="1333"/>
          <w:tab w:val="left" w:pos="1418"/>
        </w:tabs>
        <w:ind w:firstLine="851"/>
        <w:jc w:val="both"/>
        <w:rPr>
          <w:lang w:eastAsia="lt-LT"/>
        </w:rPr>
      </w:pPr>
      <w:r>
        <w:rPr>
          <w:lang w:eastAsia="lt-LT"/>
        </w:rPr>
        <w:t>7</w:t>
      </w:r>
      <w:r w:rsidR="000162AA">
        <w:rPr>
          <w:lang w:eastAsia="lt-LT"/>
        </w:rPr>
        <w:t>.</w:t>
      </w:r>
      <w:r>
        <w:rPr>
          <w:lang w:eastAsia="lt-LT"/>
        </w:rPr>
        <w:t>2</w:t>
      </w:r>
      <w:r w:rsidR="000162AA">
        <w:rPr>
          <w:lang w:eastAsia="lt-LT"/>
        </w:rPr>
        <w:t>.</w:t>
      </w:r>
      <w:r w:rsidR="000162AA">
        <w:rPr>
          <w:lang w:eastAsia="lt-LT"/>
        </w:rPr>
        <w:tab/>
      </w:r>
      <w:r w:rsidR="000162AA">
        <w:rPr>
          <w:rFonts w:eastAsia="Calibri"/>
          <w:lang w:eastAsia="lt-LT"/>
        </w:rPr>
        <w:t xml:space="preserve"> projekto išlaidos</w:t>
      </w:r>
      <w:r w:rsidR="000162AA">
        <w:rPr>
          <w:lang w:eastAsia="lt-LT"/>
        </w:rPr>
        <w:t xml:space="preserve">, kurias numatyta apmokėti taikant fiksuotuosius įkainius, </w:t>
      </w:r>
      <w:r w:rsidR="000162AA">
        <w:rPr>
          <w:rFonts w:eastAsia="Calibri"/>
          <w:lang w:eastAsia="lt-LT"/>
        </w:rPr>
        <w:t>fiksuotąją normą</w:t>
      </w:r>
      <w:r w:rsidR="000162AA">
        <w:rPr>
          <w:lang w:eastAsia="lt-LT"/>
        </w:rPr>
        <w:t xml:space="preserve">, apmokamos atsižvelgiant į projekto sutartyje nustatytus fiksuotuosius įkainius, fiksuotąją normą ir projekto vykdytojo pateiktus dokumentus, kuriais įrodomas pasiektas kiekybinis projekto rezultatas. Dokumentai, kuriuos reikia pateikti įrodant pagal fiksuotuosius įkainius </w:t>
      </w:r>
      <w:r w:rsidR="000162AA">
        <w:rPr>
          <w:rFonts w:eastAsia="Calibri"/>
          <w:lang w:eastAsia="lt-LT"/>
        </w:rPr>
        <w:t xml:space="preserve">arba fiksuotąją normą </w:t>
      </w:r>
      <w:r w:rsidR="000162AA">
        <w:rPr>
          <w:lang w:eastAsia="lt-LT"/>
        </w:rPr>
        <w:t>apmokamų kiekybinių rezultatų pasiekimą, nurod</w:t>
      </w:r>
      <w:r>
        <w:rPr>
          <w:lang w:eastAsia="lt-LT"/>
        </w:rPr>
        <w:t>yti</w:t>
      </w:r>
      <w:r w:rsidR="000162AA">
        <w:rPr>
          <w:lang w:eastAsia="lt-LT"/>
        </w:rPr>
        <w:t xml:space="preserve"> </w:t>
      </w:r>
      <w:r>
        <w:rPr>
          <w:lang w:eastAsia="lt-LT"/>
        </w:rPr>
        <w:t>papildomame susitarime</w:t>
      </w:r>
      <w:r w:rsidR="000162AA">
        <w:rPr>
          <w:lang w:eastAsia="lt-LT"/>
        </w:rPr>
        <w:t xml:space="preserve">; </w:t>
      </w:r>
    </w:p>
    <w:p w14:paraId="6C757A3F" w14:textId="3903F2FC" w:rsidR="00C316FE" w:rsidRDefault="008125E6">
      <w:pPr>
        <w:tabs>
          <w:tab w:val="left" w:pos="1276"/>
          <w:tab w:val="left" w:pos="1333"/>
          <w:tab w:val="left" w:pos="1418"/>
        </w:tabs>
        <w:ind w:firstLine="851"/>
        <w:jc w:val="both"/>
        <w:rPr>
          <w:rFonts w:eastAsia="Calibri"/>
          <w:bCs/>
        </w:rPr>
      </w:pPr>
      <w:r>
        <w:rPr>
          <w:lang w:eastAsia="lt-LT"/>
        </w:rPr>
        <w:t>7</w:t>
      </w:r>
      <w:r w:rsidR="000162AA">
        <w:rPr>
          <w:lang w:eastAsia="lt-LT"/>
        </w:rPr>
        <w:t>.</w:t>
      </w:r>
      <w:r>
        <w:rPr>
          <w:lang w:eastAsia="lt-LT"/>
        </w:rPr>
        <w:t>3</w:t>
      </w:r>
      <w:r w:rsidR="000162AA">
        <w:rPr>
          <w:lang w:eastAsia="lt-LT"/>
        </w:rPr>
        <w:t>.</w:t>
      </w:r>
      <w:r w:rsidR="000162AA">
        <w:rPr>
          <w:lang w:eastAsia="lt-LT"/>
        </w:rPr>
        <w:tab/>
      </w:r>
      <w:r w:rsidR="000162AA">
        <w:rPr>
          <w:rFonts w:eastAsia="Calibri"/>
        </w:rPr>
        <w:t xml:space="preserve"> projekto įgyvendinimo metu vadovaujančiajai ar audito institucijai nustačius, kad fiksuotasis įkainis ar fiksuotoji norma buvo</w:t>
      </w:r>
      <w:r w:rsidR="000162AA">
        <w:rPr>
          <w:rFonts w:eastAsia="Calibri"/>
          <w:bCs/>
        </w:rPr>
        <w:t xml:space="preserve"> netinkamai nustatyti, patikslintas dydis ar jo taikymo sąlygos taikomi projekto veiksmų, vykdomų nuo dydžio ar jo taikymo sąlygų patikslinimo įsigaliojimo dienos, išlaidoms apmokėti;</w:t>
      </w:r>
    </w:p>
    <w:p w14:paraId="6C757A40" w14:textId="5E22DBE2" w:rsidR="00C316FE" w:rsidRDefault="008125E6">
      <w:pPr>
        <w:tabs>
          <w:tab w:val="left" w:pos="1276"/>
          <w:tab w:val="left" w:pos="1333"/>
          <w:tab w:val="left" w:pos="1418"/>
        </w:tabs>
        <w:ind w:firstLine="851"/>
        <w:jc w:val="both"/>
        <w:rPr>
          <w:lang w:eastAsia="lt-LT"/>
        </w:rPr>
      </w:pPr>
      <w:r>
        <w:rPr>
          <w:rFonts w:eastAsia="Calibri"/>
          <w:bCs/>
        </w:rPr>
        <w:t>7</w:t>
      </w:r>
      <w:r w:rsidR="000162AA">
        <w:rPr>
          <w:rFonts w:eastAsia="Calibri"/>
          <w:bCs/>
        </w:rPr>
        <w:t>.</w:t>
      </w:r>
      <w:r>
        <w:rPr>
          <w:rFonts w:eastAsia="Calibri"/>
          <w:bCs/>
        </w:rPr>
        <w:t>4</w:t>
      </w:r>
      <w:r w:rsidR="000162AA">
        <w:rPr>
          <w:rFonts w:eastAsia="Calibri"/>
          <w:bCs/>
        </w:rPr>
        <w:t>. atnaujinus tyrimus ir (ar) pasikeitus teisės aktams, kuriais vadovaujantis nustatyti fiksuotieji įkainiai ir fiksuotosios normos, atnaujinti fiksuotieji įkainiai ir fiksuotosios normos taikomi projektų paraiškoms ir įgyvendinamiems projektams.</w:t>
      </w:r>
    </w:p>
    <w:p w14:paraId="6C757A41" w14:textId="3E00CEDF" w:rsidR="00C316FE" w:rsidRDefault="008125E6">
      <w:pPr>
        <w:tabs>
          <w:tab w:val="left" w:pos="1276"/>
          <w:tab w:val="left" w:pos="1418"/>
          <w:tab w:val="left" w:pos="2127"/>
        </w:tabs>
        <w:ind w:firstLine="851"/>
        <w:jc w:val="both"/>
        <w:rPr>
          <w:color w:val="000000"/>
          <w:lang w:eastAsia="lt-LT"/>
        </w:rPr>
      </w:pPr>
      <w:r>
        <w:rPr>
          <w:color w:val="000000"/>
          <w:lang w:eastAsia="lt-LT"/>
        </w:rPr>
        <w:t>8</w:t>
      </w:r>
      <w:r w:rsidR="000162AA">
        <w:rPr>
          <w:color w:val="000000"/>
          <w:lang w:eastAsia="lt-LT"/>
        </w:rPr>
        <w:t>.</w:t>
      </w:r>
      <w:r w:rsidR="000162AA">
        <w:rPr>
          <w:color w:val="000000"/>
          <w:lang w:eastAsia="lt-LT"/>
        </w:rPr>
        <w:tab/>
      </w:r>
      <w:r w:rsidR="000162AA">
        <w:rPr>
          <w:rFonts w:eastAsia="Calibri"/>
          <w:lang w:eastAsia="lt-LT"/>
        </w:rPr>
        <w:t xml:space="preserve">Jei darbuotojų darbo užmokesčio išlaidos apmokamos taikant nurodytą fiksuotąjį įkainį, tinkamomis finansuoti išlaidomis laikomos ir kitos su šių darbuotojų darbo užmokesčiu susijusios ir realiai patirtos išlaidos (draudėjo valstybinio socialinio draudimo įmokos už darbuotojus, dirbančius pagal darbo sutartis ne visą darbo laiką ir nelaikomus teisės aktuose numatytomis išimtimis, išeitinės išmokos), kurių neapima </w:t>
      </w:r>
      <w:r w:rsidR="000162AA">
        <w:rPr>
          <w:rFonts w:eastAsia="Calibri"/>
          <w:color w:val="000000"/>
          <w:lang w:eastAsia="lt-LT"/>
        </w:rPr>
        <w:t>nurodytas fiksuotasis įkainis. Šios išlaidos apmokamos vadovaujantis Lietuvos Respublikos teisės aktais.</w:t>
      </w:r>
    </w:p>
    <w:p w14:paraId="6C757A42" w14:textId="1E784042" w:rsidR="00C316FE" w:rsidRDefault="008125E6">
      <w:pPr>
        <w:tabs>
          <w:tab w:val="left" w:pos="1276"/>
          <w:tab w:val="left" w:pos="1418"/>
          <w:tab w:val="left" w:pos="2127"/>
        </w:tabs>
        <w:ind w:firstLine="851"/>
        <w:jc w:val="both"/>
        <w:rPr>
          <w:color w:val="000000"/>
          <w:lang w:eastAsia="lt-LT"/>
        </w:rPr>
      </w:pPr>
      <w:r>
        <w:rPr>
          <w:color w:val="000000"/>
          <w:lang w:eastAsia="lt-LT"/>
        </w:rPr>
        <w:t>9</w:t>
      </w:r>
      <w:r w:rsidR="000162AA">
        <w:rPr>
          <w:color w:val="000000"/>
          <w:lang w:eastAsia="lt-LT"/>
        </w:rPr>
        <w:t>.</w:t>
      </w:r>
      <w:r w:rsidR="000162AA">
        <w:rPr>
          <w:color w:val="000000"/>
          <w:lang w:eastAsia="lt-LT"/>
        </w:rPr>
        <w:tab/>
      </w:r>
      <w:r>
        <w:rPr>
          <w:color w:val="000000"/>
          <w:lang w:eastAsia="lt-LT"/>
        </w:rPr>
        <w:t>K</w:t>
      </w:r>
      <w:r w:rsidR="000162AA">
        <w:rPr>
          <w:rFonts w:eastAsia="Calibri"/>
        </w:rPr>
        <w:t>ryžminis finansavimas netaikomas.</w:t>
      </w:r>
    </w:p>
    <w:p w14:paraId="6C757A45" w14:textId="77777777" w:rsidR="00C316FE" w:rsidRDefault="00C316FE">
      <w:pPr>
        <w:tabs>
          <w:tab w:val="left" w:pos="1276"/>
          <w:tab w:val="left" w:pos="1418"/>
        </w:tabs>
        <w:jc w:val="center"/>
        <w:rPr>
          <w:rFonts w:eastAsia="Calibri"/>
          <w:b/>
        </w:rPr>
      </w:pPr>
      <w:bookmarkStart w:id="0" w:name="_GoBack"/>
      <w:bookmarkEnd w:id="0"/>
    </w:p>
    <w:sectPr w:rsidR="00C316FE" w:rsidSect="00E6785E">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57D17" w14:textId="77777777" w:rsidR="000162AA" w:rsidRDefault="000162AA">
      <w:pPr>
        <w:rPr>
          <w:lang w:val="en-GB"/>
        </w:rPr>
      </w:pPr>
      <w:r>
        <w:rPr>
          <w:lang w:val="en-GB"/>
        </w:rPr>
        <w:separator/>
      </w:r>
    </w:p>
  </w:endnote>
  <w:endnote w:type="continuationSeparator" w:id="0">
    <w:p w14:paraId="6C757D18" w14:textId="77777777" w:rsidR="000162AA" w:rsidRDefault="000162AA">
      <w:pPr>
        <w:rPr>
          <w:lang w:val="en-GB"/>
        </w:rPr>
      </w:pPr>
      <w:r>
        <w:rPr>
          <w:lang w:val="en-GB"/>
        </w:rPr>
        <w:continuationSeparator/>
      </w:r>
    </w:p>
  </w:endnote>
  <w:endnote w:type="continuationNotice" w:id="1">
    <w:p w14:paraId="6C757D19" w14:textId="77777777" w:rsidR="000162AA" w:rsidRDefault="000162AA">
      <w:pPr>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7D14" w14:textId="77777777" w:rsidR="000162AA" w:rsidRDefault="000162AA">
      <w:pPr>
        <w:rPr>
          <w:lang w:val="en-GB"/>
        </w:rPr>
      </w:pPr>
      <w:r>
        <w:rPr>
          <w:lang w:val="en-GB"/>
        </w:rPr>
        <w:separator/>
      </w:r>
    </w:p>
  </w:footnote>
  <w:footnote w:type="continuationSeparator" w:id="0">
    <w:p w14:paraId="6C757D15" w14:textId="77777777" w:rsidR="000162AA" w:rsidRDefault="000162AA">
      <w:pPr>
        <w:rPr>
          <w:lang w:val="en-GB"/>
        </w:rPr>
      </w:pPr>
      <w:r>
        <w:rPr>
          <w:lang w:val="en-GB"/>
        </w:rPr>
        <w:continuationSeparator/>
      </w:r>
    </w:p>
  </w:footnote>
  <w:footnote w:type="continuationNotice" w:id="1">
    <w:p w14:paraId="6C757D16" w14:textId="77777777" w:rsidR="000162AA" w:rsidRDefault="000162AA">
      <w:pPr>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162AA"/>
    <w:rsid w:val="000F0A6C"/>
    <w:rsid w:val="00203201"/>
    <w:rsid w:val="003D0BAD"/>
    <w:rsid w:val="008125E6"/>
    <w:rsid w:val="009C066B"/>
    <w:rsid w:val="009C12CB"/>
    <w:rsid w:val="00C316FE"/>
    <w:rsid w:val="00DD0857"/>
    <w:rsid w:val="00E678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7989"/>
  <w15:docId w15:val="{E3885464-08CC-4701-ACAB-170D27E3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er">
    <w:name w:val="footer"/>
    <w:basedOn w:val="Normal"/>
    <w:link w:val="FooterChar"/>
    <w:rsid w:val="000162AA"/>
    <w:pPr>
      <w:tabs>
        <w:tab w:val="center" w:pos="4819"/>
        <w:tab w:val="right" w:pos="9638"/>
      </w:tabs>
    </w:pPr>
  </w:style>
  <w:style w:type="character" w:customStyle="1" w:styleId="FooterChar">
    <w:name w:val="Footer Char"/>
    <w:basedOn w:val="DefaultParagraphFont"/>
    <w:link w:val="Footer"/>
    <w:rsid w:val="000162AA"/>
  </w:style>
  <w:style w:type="paragraph" w:styleId="Header">
    <w:name w:val="header"/>
    <w:basedOn w:val="Normal"/>
    <w:link w:val="HeaderChar"/>
    <w:uiPriority w:val="99"/>
    <w:rsid w:val="000162AA"/>
    <w:pPr>
      <w:tabs>
        <w:tab w:val="center" w:pos="4819"/>
        <w:tab w:val="right" w:pos="9638"/>
      </w:tabs>
    </w:pPr>
  </w:style>
  <w:style w:type="character" w:customStyle="1" w:styleId="HeaderChar">
    <w:name w:val="Header Char"/>
    <w:basedOn w:val="DefaultParagraphFont"/>
    <w:link w:val="Header"/>
    <w:uiPriority w:val="99"/>
    <w:rsid w:val="000162AA"/>
  </w:style>
  <w:style w:type="character" w:styleId="PlaceholderText">
    <w:name w:val="Placeholder Text"/>
    <w:basedOn w:val="DefaultParagraphFont"/>
    <w:rsid w:val="000162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57160">
      <w:bodyDiv w:val="1"/>
      <w:marLeft w:val="0"/>
      <w:marRight w:val="0"/>
      <w:marTop w:val="0"/>
      <w:marBottom w:val="0"/>
      <w:divBdr>
        <w:top w:val="none" w:sz="0" w:space="0" w:color="auto"/>
        <w:left w:val="none" w:sz="0" w:space="0" w:color="auto"/>
        <w:bottom w:val="none" w:sz="0" w:space="0" w:color="auto"/>
        <w:right w:val="none" w:sz="0" w:space="0" w:color="auto"/>
      </w:divBdr>
    </w:div>
    <w:div w:id="620183915">
      <w:bodyDiv w:val="1"/>
      <w:marLeft w:val="0"/>
      <w:marRight w:val="0"/>
      <w:marTop w:val="0"/>
      <w:marBottom w:val="0"/>
      <w:divBdr>
        <w:top w:val="none" w:sz="0" w:space="0" w:color="auto"/>
        <w:left w:val="none" w:sz="0" w:space="0" w:color="auto"/>
        <w:bottom w:val="none" w:sz="0" w:space="0" w:color="auto"/>
        <w:right w:val="none" w:sz="0" w:space="0" w:color="auto"/>
      </w:divBdr>
    </w:div>
    <w:div w:id="1556699314">
      <w:bodyDiv w:val="1"/>
      <w:marLeft w:val="0"/>
      <w:marRight w:val="0"/>
      <w:marTop w:val="0"/>
      <w:marBottom w:val="0"/>
      <w:divBdr>
        <w:top w:val="none" w:sz="0" w:space="0" w:color="auto"/>
        <w:left w:val="none" w:sz="0" w:space="0" w:color="auto"/>
        <w:bottom w:val="none" w:sz="0" w:space="0" w:color="auto"/>
        <w:right w:val="none" w:sz="0" w:space="0" w:color="auto"/>
      </w:divBdr>
    </w:div>
    <w:div w:id="18342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CCA58-0D6E-4858-9AD6-7B0E9DEC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1119</Words>
  <Characters>6381</Characters>
  <Application>Microsoft Office Word</Application>
  <DocSecurity>0</DocSecurity>
  <Lines>53</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7486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Rasa Grigaliūnienė</cp:lastModifiedBy>
  <cp:revision>5</cp:revision>
  <cp:lastPrinted>2019-10-07T04:27:00Z</cp:lastPrinted>
  <dcterms:created xsi:type="dcterms:W3CDTF">2020-05-05T09:39:00Z</dcterms:created>
  <dcterms:modified xsi:type="dcterms:W3CDTF">2020-05-05T09:50:00Z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277785313</vt:i4>
  </property>
  <property fmtid="{D5CDD505-2E9C-101B-9397-08002B2CF9AE}" pid="3" name="_NewReviewCycle">
    <vt:lpwstr/>
  </property>
  <property fmtid="{D5CDD505-2E9C-101B-9397-08002B2CF9AE}" pid="4" name="_EmailSubject">
    <vt:lpwstr>Finansavimo salygu aprasas - Institucinės globos pertvarka Nr.</vt:lpwstr>
  </property>
  <property fmtid="{D5CDD505-2E9C-101B-9397-08002B2CF9AE}" pid="5" name="_AuthorEmail">
    <vt:lpwstr>Vytene.Pivoraite@socmin.lt</vt:lpwstr>
  </property>
  <property fmtid="{D5CDD505-2E9C-101B-9397-08002B2CF9AE}" pid="6" name="_AuthorEmailDisplayName">
    <vt:lpwstr>Vytenė Pivoraitė</vt:lpwstr>
  </property>
  <property fmtid="{D5CDD505-2E9C-101B-9397-08002B2CF9AE}" pid="7" name="_ReviewingToolsShownOnce">
    <vt:lpwstr/>
  </property>
</Properties>
</file>